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福建省物业管理协会《民法典》与物业管理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线上公益大讲堂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  <w:bookmarkEnd w:id="0"/>
    </w:p>
    <w:p>
      <w:pPr>
        <w:rPr>
          <w:rFonts w:hint="eastAsia"/>
        </w:rPr>
      </w:pPr>
    </w:p>
    <w:tbl>
      <w:tblPr>
        <w:tblStyle w:val="4"/>
        <w:tblW w:w="8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1458"/>
        <w:gridCol w:w="145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747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3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企业联系人名字：</w:t>
            </w:r>
          </w:p>
        </w:tc>
        <w:tc>
          <w:tcPr>
            <w:tcW w:w="4374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企业联系人电话：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-SA"/>
              </w:rPr>
              <w:t>学员姓名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916" w:type="dxa"/>
            <w:vAlign w:val="center"/>
          </w:tcPr>
          <w:p>
            <w:pPr>
              <w:pStyle w:val="2"/>
              <w:spacing w:before="0" w:beforeAutospacing="0" w:after="0" w:afterAutospacing="0"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进群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5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  <w:gridSpan w:val="2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16" w:type="dxa"/>
          </w:tcPr>
          <w:p>
            <w:pPr>
              <w:pStyle w:val="2"/>
              <w:spacing w:before="0" w:beforeAutospacing="0" w:after="0" w:afterAutospacing="0" w:line="276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52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HL-PC</dc:creator>
  <cp:lastModifiedBy>林惠玲</cp:lastModifiedBy>
  <dcterms:modified xsi:type="dcterms:W3CDTF">2020-07-02T08:55:09Z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