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附件一</w:t>
      </w:r>
    </w:p>
    <w:p>
      <w:pPr>
        <w:spacing w:line="380" w:lineRule="exact"/>
        <w:jc w:val="center"/>
        <w:rPr>
          <w:rFonts w:ascii="仿宋_GB2312" w:hAnsi="仿宋" w:eastAsia="仿宋_GB2312" w:cs="Times New Roman"/>
          <w:b/>
          <w:color w:val="auto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auto"/>
          <w:sz w:val="30"/>
          <w:szCs w:val="30"/>
        </w:rPr>
        <w:t>雇主责任保险</w:t>
      </w:r>
    </w:p>
    <w:tbl>
      <w:tblPr>
        <w:tblStyle w:val="3"/>
        <w:tblpPr w:leftFromText="180" w:rightFromText="180" w:vertAnchor="text" w:horzAnchor="page" w:tblpX="947" w:tblpY="371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物业雇主责任险保险方案一 （投保人数30人以下）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（此方案适用于全省物业管理协会会员）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一般工作人员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204</w:t>
            </w:r>
          </w:p>
        </w:tc>
      </w:tr>
    </w:tbl>
    <w:p>
      <w:pPr>
        <w:spacing w:line="380" w:lineRule="exact"/>
        <w:rPr>
          <w:rFonts w:ascii="Calibri" w:hAnsi="Calibri" w:eastAsia="宋体" w:cs="Times New Roman"/>
          <w:vanish/>
          <w:color w:val="auto"/>
        </w:rPr>
      </w:pPr>
    </w:p>
    <w:p>
      <w:pPr>
        <w:spacing w:line="380" w:lineRule="exact"/>
        <w:rPr>
          <w:rFonts w:ascii="Calibri" w:hAnsi="Calibri" w:eastAsia="宋体" w:cs="Times New Roman"/>
          <w:vanish/>
          <w:color w:val="auto"/>
        </w:rPr>
      </w:pPr>
    </w:p>
    <w:p>
      <w:pPr>
        <w:spacing w:beforeLines="100" w:line="380" w:lineRule="exact"/>
        <w:rPr>
          <w:rFonts w:ascii="仿宋_GB2312" w:hAnsi="仿宋" w:eastAsia="仿宋_GB2312" w:cs="Times New Roman"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45" w:tblpY="66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保安人员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370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65" w:tblpY="27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1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保洁及电工等室外工作人员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328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131" w:tblpY="303"/>
        <w:tblW w:w="10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80" w:lineRule="exact"/>
              <w:ind w:left="-1470" w:leftChars="-700"/>
              <w:jc w:val="center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 xml:space="preserve">          物业雇主责任险保险方案二 （投保人数50人以上方案）</w:t>
            </w:r>
          </w:p>
          <w:p>
            <w:pPr>
              <w:widowControl/>
              <w:spacing w:line="380" w:lineRule="exact"/>
              <w:jc w:val="right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（此方案适用于全省物业管理协会会员）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一般工作人员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185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94" w:tblpY="139"/>
        <w:tblW w:w="10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1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保安人员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6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6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336</w:t>
            </w:r>
          </w:p>
        </w:tc>
      </w:tr>
    </w:tbl>
    <w:p>
      <w:pPr>
        <w:spacing w:line="380" w:lineRule="exact"/>
        <w:rPr>
          <w:rFonts w:ascii="仿宋_GB2312" w:hAnsi="仿宋" w:eastAsia="仿宋_GB2312" w:cs="Times New Roman"/>
          <w:b/>
          <w:color w:val="auto"/>
          <w:sz w:val="24"/>
          <w:szCs w:val="24"/>
        </w:rPr>
      </w:pPr>
    </w:p>
    <w:tbl>
      <w:tblPr>
        <w:tblStyle w:val="3"/>
        <w:tblpPr w:leftFromText="180" w:rightFromText="180" w:vertAnchor="text" w:horzAnchor="page" w:tblpX="1056" w:tblpY="38"/>
        <w:tblW w:w="10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保洁及电工等室外工作人员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保额/保费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死亡、伤残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40万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50万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医疗费用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1万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2万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3万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4万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5万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主险保费合计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附加险</w:t>
            </w:r>
          </w:p>
        </w:tc>
        <w:tc>
          <w:tcPr>
            <w:tcW w:w="6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误工补助补充责任保险条款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0"/>
                <w:szCs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总保费合计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298</w:t>
            </w:r>
          </w:p>
        </w:tc>
      </w:tr>
    </w:tbl>
    <w:p>
      <w:pPr>
        <w:spacing w:line="380" w:lineRule="exact"/>
        <w:jc w:val="left"/>
        <w:rPr>
          <w:rFonts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                               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 xml:space="preserve"> </w:t>
      </w:r>
    </w:p>
    <w:p>
      <w:pPr>
        <w:spacing w:line="38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38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电梯责任保险</w:t>
      </w: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客货梯：</w:t>
      </w:r>
    </w:p>
    <w:tbl>
      <w:tblPr>
        <w:tblStyle w:val="3"/>
        <w:tblW w:w="9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每次事故赔偿限额为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人民币80万元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每次事故每人伤亡赔偿限额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意外医疗人民币2万元，财产损失人民币1万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每个小区每年累计赔偿限额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人民币600万元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免赔额（率）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每次事故绝对免赔额为损失金额的5%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保费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110元/台</w:t>
            </w:r>
          </w:p>
        </w:tc>
      </w:tr>
    </w:tbl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80" w:lineRule="exact"/>
        <w:jc w:val="lef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手扶梯：</w:t>
      </w:r>
    </w:p>
    <w:tbl>
      <w:tblPr>
        <w:tblStyle w:val="3"/>
        <w:tblW w:w="9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每次事故赔偿限额为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人民币80万元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每次事故每人伤亡赔偿限额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意外医疗人民币2万元，财产损失人民币1万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每个小区每年累计赔偿限额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人民币600万元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免赔额（率）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每次事故绝对免赔额为损失金额的5%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保费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80" w:lineRule="exact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200元/台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物业管理责任保险</w:t>
      </w:r>
    </w:p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写字楼：</w:t>
      </w:r>
    </w:p>
    <w:tbl>
      <w:tblPr>
        <w:tblStyle w:val="3"/>
        <w:tblW w:w="9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4037"/>
        <w:gridCol w:w="3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场地面积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费率（‰）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1110"/>
              </w:tabs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50万㎡以下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50万㎡-100万㎡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100万㎡以上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投保方案</w:t>
            </w:r>
          </w:p>
        </w:tc>
        <w:tc>
          <w:tcPr>
            <w:tcW w:w="7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1、累计赔偿限额为人民币500万元整，其中人身伤亡赔偿限额为人民币400万元整，财产损失赔偿限额为人民币100万元整；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2、每次事故赔偿限额为人民币200万元整，其中每次事故人身伤亡赔偿限额为人民币150万元整，每次事故财产损失赔偿限额为人民币50万元整；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3、每次事故每人人身伤亡赔偿限额为人民币30万元整，每次事故每人意外医疗赔偿限额为3万元整；每次事故每人财产损失赔偿限额为5万元整；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4、每次事故医疗费用绝对免赔额300元，每次事故财产损失绝对免赔额1000元。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责任免除：泳池、停车场、电梯、儿童游乐园 ；  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6、特别约定：每户财产损失赔偿限额为1万元整。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小区：</w:t>
      </w:r>
    </w:p>
    <w:tbl>
      <w:tblPr>
        <w:tblStyle w:val="3"/>
        <w:tblW w:w="9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4021"/>
        <w:gridCol w:w="3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场地面积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费率（‰）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1110"/>
              </w:tabs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50万㎡以下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1.82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50万㎡-100万㎡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2.08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100万㎡以上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2.6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投保方案</w:t>
            </w:r>
          </w:p>
        </w:tc>
        <w:tc>
          <w:tcPr>
            <w:tcW w:w="7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1、累计赔偿限额为人民币500万元整，其中人身伤亡赔偿限额为人民币400万元整，财产损失赔偿限额为人民币100万元整；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2、每次事故赔偿限额为人民币200万元整，其中每次事故人身伤亡赔偿限额为人民币150万元整，每次事故财产损失赔偿限额为人民币50万元整；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3、每次事故每人人身伤亡赔偿限额为人民币30万元整，每次事故每人意外医疗赔偿限额为3万元整；每次事故每人财产损失赔偿限额为5万元整；</w:t>
            </w:r>
          </w:p>
          <w:p>
            <w:pPr>
              <w:autoSpaceDN w:val="0"/>
              <w:jc w:val="left"/>
              <w:textAlignment w:val="bottom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4、每次事故医疗费用绝对免赔额300元，每次事故财产损失绝对免赔额1000元 ；   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责任免除：泳池、停车场、电梯、儿童游乐园 ；  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6、特别约定：每户财产损失赔偿限额为1万元整。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auto"/>
          <w:sz w:val="24"/>
          <w:szCs w:val="24"/>
        </w:rPr>
      </w:pPr>
    </w:p>
    <w:p>
      <w:pPr>
        <w:spacing w:line="400" w:lineRule="exact"/>
        <w:rPr>
          <w:rFonts w:ascii="仿宋" w:hAnsi="仿宋" w:eastAsia="仿宋" w:cs="仿宋"/>
          <w:b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 备注：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建议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物业管理责任保险与电梯责任保险一起承保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00FC"/>
    <w:rsid w:val="432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2018-12-19T09:26:00Z</dcterms:created>
  <dc:creator>省物协 程文钊</dc:creator>
  <cp:lastModifiedBy>省物协 程文钊</cp:lastModifiedBy>
  <dcterms:modified xsi:type="dcterms:W3CDTF">2018-12-19T09:27:19Z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